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Operation without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 OPERATION WITHOUT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