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Interstate Compact, authority</w:t>
      </w:r>
    </w:p>
    <w:p>
      <w:pPr>
        <w:jc w:val="both"/>
        <w:spacing w:before="100" w:after="100"/>
        <w:ind w:start="360"/>
        <w:ind w:firstLine="360"/>
      </w:pPr>
      <w:r>
        <w:rPr/>
      </w:r>
      <w:r>
        <w:rPr/>
      </w:r>
      <w:r>
        <w:t xml:space="preserve">In accordance with </w:t>
      </w:r>
      <w:r>
        <w:t>subchapter II</w:t>
      </w:r>
      <w:r>
        <w:t xml:space="preserve"> the Governor of this State is authorized and directed to execute supplementary agreements with any one or more of the states comprising the New England Interstate Water Pollution Control Commission and the United States for the purpose of implementing and carrying out the provisions, limitations, qualifications and intent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Interstate Compact,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Interstate Compact,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§553. INTERSTATE COMPACT,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