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Certification of underground tank installers</w:t>
      </w:r>
    </w:p>
    <w:p>
      <w:pPr>
        <w:jc w:val="both"/>
        <w:spacing w:before="100" w:after="100"/>
        <w:ind w:start="360"/>
        <w:ind w:firstLine="360"/>
      </w:pPr>
      <w:r>
        <w:rPr/>
      </w:r>
      <w:r>
        <w:rPr/>
      </w:r>
      <w:r>
        <w:t xml:space="preserve">No person may install an underground oil storage facility or tank after May 1, 1986, without first having been certified by the Board of Underground Oil Storage Tank Installers, pursuant to </w:t>
      </w:r>
      <w:r>
        <w:t>Title 32, chapter 104‑A</w:t>
      </w:r>
      <w:r>
        <w:t xml:space="preserve">.  Underground gasoline storage tanks may be removed by underground gasoline storage tank removers certified by the Board of Underground Oil Storage Tank Installers,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w:pPr>
        <w:jc w:val="both"/>
        <w:spacing w:before="100" w:after="100"/>
        <w:ind w:start="360"/>
        <w:ind w:firstLine="360"/>
      </w:pPr>
      <w:r>
        <w:rPr/>
      </w:r>
      <w:r>
        <w:rPr/>
      </w:r>
      <w:r>
        <w:t xml:space="preserve">Notwithstanding </w:t>
      </w:r>
      <w:r>
        <w:t>section 570</w:t>
      </w:r>
      <w:r>
        <w:t xml:space="preserve">, tank installers and removers shall be liable to other than the State as follows:  With the exception of prohibited discharges resulting from an installer's or remover's negligence, the liability of certified installers and removers shall be limited to damages resulting from prohibited discharges discovered within the 12-month period immediately following the installation or removal of the underground tank or facility.  To insure its  continued relevance, this provision shall be reviewed by June 30, 1991, by the joint standing committee of the Legislature having jurisdiction over energy and natural resources.</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§8 (AMD). PL 1985, c. 763, §A98 (AMD). PL 1987, c. 402, §A202 (AMD). PL 1989, c. 312,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Certification of underground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Certification of underground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§567. CERTIFICATION OF UNDERGROUND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