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584-F</w:t>
        <w:t xml:space="preserve">.  </w:t>
      </w:r>
      <w:r>
        <w:rPr>
          <w:b/>
        </w:rPr>
        <w:t xml:space="preserve">Air quality health warnings</w:t>
      </w:r>
    </w:p>
    <w:p>
      <w:pPr>
        <w:jc w:val="both"/>
        <w:spacing w:before="100" w:after="0"/>
        <w:ind w:start="360"/>
        <w:ind w:firstLine="360"/>
      </w:pPr>
      <w:r>
        <w:rPr>
          <w:b/>
        </w:rPr>
        <w:t>1</w:t>
        <w:t xml:space="preserve">.  </w:t>
      </w:r>
      <w:r>
        <w:rPr>
          <w:b/>
        </w:rPr>
        <w:t xml:space="preserve">Dissemination of warnings to media and public.</w:t>
        <w:t xml:space="preserve"> </w:t>
      </w:r>
      <w:r>
        <w:t xml:space="preserve"> </w:t>
      </w:r>
      <w:r>
        <w:t xml:space="preserve">Whenever the department predicts that ambient air concentrations of a pollutant will reach the United States Environmental Protection Agency's Air Quality Index category of Unhealthy for Sensitive Groups or a higher category, the department shall disseminate a health warning to the mass media, including but not limited to television, radio and print media, and shall urge the media to issue the warning to the general public.  The department shall use best efforts to educate the media as to the need to broadly disseminate health warnings to the public.  In disseminating a warning under this subsection, the department shall also use the most appropriate technology available to disseminate health warnings directly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496, §1 (AMD).]</w:t>
      </w:r>
    </w:p>
    <w:p>
      <w:pPr>
        <w:jc w:val="both"/>
        <w:spacing w:before="100" w:after="0"/>
        <w:ind w:start="360"/>
        <w:ind w:firstLine="360"/>
      </w:pPr>
      <w:r>
        <w:rPr>
          <w:b/>
        </w:rPr>
        <w:t>2</w:t>
        <w:t xml:space="preserve">.  </w:t>
      </w:r>
      <w:r>
        <w:rPr>
          <w:b/>
        </w:rPr>
        <w:t xml:space="preserve"> Daily ground-level ozone concentration information.</w:t>
        <w:t xml:space="preserve"> </w:t>
      </w:r>
      <w:r>
        <w:t xml:space="preserve"> </w:t>
      </w:r>
      <w:r>
        <w:t xml:space="preserve">The department shall provide information to the public on daily ground-level ozone concentrations by a toll-free ozone information telephone hotline or through other appropriate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306, §3 (NEW). PL 1999, c. 79, §2 (AMD). PL 2023, c. 496,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§584-F. Air quality health warnings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§584-F. Air quality health warnings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§584-F. AIR QUALITY HEALTH WARNINGS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