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606-A</w:t>
        <w:t xml:space="preserve">.  </w:t>
      </w:r>
      <w:r>
        <w:rPr>
          <w:b/>
        </w:rPr>
        <w:t xml:space="preserve">Tire-derived fuel</w:t>
      </w:r>
    </w:p>
    <w:p>
      <w:pPr>
        <w:jc w:val="both"/>
        <w:spacing w:before="100" w:after="100"/>
        <w:ind w:start="360"/>
        <w:ind w:firstLine="360"/>
      </w:pPr>
      <w:r>
        <w:rPr/>
      </w:r>
      <w:r>
        <w:rPr/>
      </w:r>
      <w:r>
        <w:t xml:space="preserve">Any physical or operational change of an industrial power boiler that does not result in an increase in permitted emissions and that is undertaken for the purpose of allowing the source to burn tire-derived fuel is not a modification of the source or emissions unit pursuant to regulations implementing </w:t>
      </w:r>
      <w:r>
        <w:t>section 590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869,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§C8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§606-A. Tire-derived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§606-A. Tire-derived fuel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§606-A. TIRE-DERIVED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