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--damages</w:t>
      </w:r>
    </w:p>
    <w:p>
      <w:pPr>
        <w:jc w:val="both"/>
        <w:spacing w:before="100" w:after="100"/>
        <w:ind w:start="360"/>
        <w:ind w:firstLine="360"/>
      </w:pPr>
      <w:r>
        <w:rPr/>
      </w:r>
      <w:r>
        <w:rPr/>
      </w:r>
      <w:r>
        <w:t xml:space="preserve">Damages caused by flowage of lands from which timber or other property has been removed under section 658 must be assessed as though there had been no severance, and the amount paid for such timber or other property with interest to the date of the judgment must be credited thereon, except that the owner of the land has the right to elect whether the owner's damages are assessed for flowage as of the time of taking or of flowing.</w:t>
      </w:r>
      <w:r>
        <w:t xml:space="preserve">  </w:t>
      </w:r>
      <w:r xmlns:wp="http://schemas.openxmlformats.org/drawingml/2010/wordprocessingDrawing" xmlns:w15="http://schemas.microsoft.com/office/word/2012/wordml">
        <w:rPr>
          <w:rFonts w:ascii="Arial" w:hAnsi="Arial" w:cs="Arial"/>
          <w:sz w:val="22"/>
          <w:szCs w:val="22"/>
        </w:rPr>
        <w:t xml:space="preserve">[RR 2021, c. 2, Pt. B, §247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§659.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§659.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