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§931. CREATION; RIGHT TO FLOW LAND;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