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974</w:t>
        <w:t xml:space="preserve">.  </w:t>
      </w:r>
      <w:r>
        <w:rPr>
          <w:b/>
        </w:rPr>
        <w:t xml:space="preserve">Right of owner to search for lost logs</w:t>
      </w:r>
    </w:p>
    <w:p>
      <w:pPr>
        <w:jc w:val="both"/>
        <w:spacing w:before="100" w:after="100"/>
        <w:ind w:start="360"/>
        <w:ind w:firstLine="360"/>
      </w:pPr>
      <w:r>
        <w:rPr/>
      </w:r>
      <w:r>
        <w:rPr/>
      </w:r>
      <w:r>
        <w:t xml:space="preserve">The owner of logs, masts or spars referred to in </w:t>
      </w:r>
      <w:r>
        <w:t>section 971</w:t>
      </w:r>
      <w:r>
        <w:t xml:space="preserve"> or the owner's agent may at any time enter in a peaceable manner upon any mill, mill-brow, boom or raft of logs or other timber in search of that lost property. Whoever willfully prevents or obstructs a search for that lost property forfeits for each offense not less than $20 nor more than $50, to the person by whom or on whose account the entry was claimed,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2023, c. 405, Pt. A, §141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§974. Right of owner to search for lost logs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§974. Right of owner to search for lost logs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§974. RIGHT OF OWNER TO SEARCH FOR LOST LOGS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