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Invalidity of waiver of rights; claims not assignable</w:t>
      </w:r>
    </w:p>
    <w:p>
      <w:pPr>
        <w:jc w:val="both"/>
        <w:spacing w:before="100" w:after="100"/>
        <w:ind w:start="360"/>
        <w:ind w:firstLine="360"/>
      </w:pPr>
      <w:r>
        <w:rPr/>
      </w:r>
      <w:r>
        <w:rPr/>
      </w:r>
      <w:r>
        <w:t xml:space="preserve">No agreement by an employee, unless approved by the board or by the Commissioner of Labor, to waive the employee's rights to compensation under this Act is valid. No claims for compensation under this Act are assignable or subject to attachment or liable in any way for debt, except for the enforcement of a current support obligation or support arrears pursuant to </w:t>
      </w:r>
      <w:r>
        <w:t>Title 19‑A, chapter 65, subchapter II, article 3</w:t>
      </w:r>
      <w:r>
        <w:t xml:space="preserve"> or </w:t>
      </w:r>
      <w:r>
        <w:t>Title 19‑A, chapter 65, subchapter III</w:t>
      </w:r>
      <w:r>
        <w:t xml:space="preserve">, or for reimbursement of general assistance pursuant to </w:t>
      </w:r>
      <w:r>
        <w:t>Title 22, section 4318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§63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694, §D63 (AMD).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Invalidity of waiver of rights; claims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Invalidity of waiver of rights; claims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§106. INVALIDITY OF WAIVER OF RIGHTS; CLAIMS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