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Compilation of claims information</w:t>
      </w:r>
    </w:p>
    <w:p>
      <w:pPr>
        <w:jc w:val="both"/>
        <w:spacing w:before="100" w:after="100"/>
        <w:ind w:start="360"/>
        <w:ind w:firstLine="360"/>
      </w:pPr>
      <w:r>
        <w:rPr/>
      </w:r>
      <w:r>
        <w:rPr/>
      </w:r>
      <w:r>
        <w:t xml:space="preserve">A person or entity may not compile for the purpose of distribution and sale listings of employee names and information regarding their claims with the board.  Any person or entity found by the board to have violated this section is subject to the remedy provision of the Maine Human Rights Act, </w:t>
      </w:r>
      <w:r>
        <w:t>Title 5, sections 4613</w:t>
      </w:r>
      <w:r>
        <w:t xml:space="preserve"> and </w:t>
      </w:r>
      <w:r>
        <w:t>4614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 Compilation of claims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Compilation of claims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§109. COMPILATION OF CLAIMS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