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Audits; penalty;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§359. AUDITS; PENALTY;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