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Employee's knowledge of defect or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Employee's knowledge of defect or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§907. EMPLOYEE'S KNOWLEDGE OF DEFECT OR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