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Executive director</w:t>
      </w:r>
    </w:p>
    <w:p>
      <w:pPr>
        <w:jc w:val="both"/>
        <w:spacing w:before="100" w:after="100"/>
        <w:ind w:start="360"/>
        <w:ind w:firstLine="360"/>
      </w:pPr>
      <w:r>
        <w:rPr/>
      </w:r>
      <w:r>
        <w:rPr/>
      </w:r>
      <w:r>
        <w:t xml:space="preserve">The Chief Executive Officer of the Maine Public Employees Retirement System is the Executive Director of the Judicial Retirement Program. The executive director has the same powers and duties with respect to the Judicial Retirement Program as with other programs of the Maine Public Employees Retirement System,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491, §36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58, §3 (REV). PL 2007, c. 491, §36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§1232.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§1232.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