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Actuary</w:t>
      </w:r>
    </w:p>
    <w:p>
      <w:pPr>
        <w:jc w:val="both"/>
        <w:spacing w:before="100" w:after="100"/>
        <w:ind w:start="360"/>
        <w:ind w:firstLine="360"/>
      </w:pPr>
      <w:r>
        <w:rPr/>
      </w:r>
      <w:r>
        <w:rPr/>
      </w:r>
      <w:r>
        <w:t xml:space="preserve">The actuary of the other programs of the Maine Public Employees Retirement System is the Actuary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58, §3 (REV). PL 2007, c. 491,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§1233. Actuary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Actuary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§1233. ACTUARY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