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§25 (AMD).]</w:t>
      </w:r>
    </w:p>
    <w:p>
      <w:pPr>
        <w:jc w:val="both"/>
        <w:spacing w:before="100" w:after="100"/>
        <w:ind w:start="360"/>
        <w:ind w:firstLine="360"/>
      </w:pPr>
      <w:r>
        <w:rPr>
          <w:b/>
        </w:rPr>
        <w:t>2</w:t>
        <w:t xml:space="preserve">.  </w:t>
      </w:r>
      <w:r>
        <w:rPr>
          <w:b/>
        </w:rPr>
        <w:t xml:space="preserve">Employer contribution rate.</w:t>
        <w:t xml:space="preserve"> </w:t>
      </w:r>
      <w:r>
        <w:t xml:space="preserve"> </w:t>
      </w:r>
      <w:r>
        <w:t xml:space="preserve">The rate of the employer contribution is fixed on the basis of the assets and liabilities of the Judicial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not provided by the members' contributions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 On each payroll for judges from which retirement contributions are deducted, the State Controller shall cause a charge to be made of an amount or amounts in payment of the state costs of all charges related to the Judicial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Judicial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§§B20,B45 (AMD). PL 1989, c. 133, §25 (AMD). PL 2007, c. 240, Pt. U, §4 (AMD). PL 2007, c. 491,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§1303.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