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Children's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Children's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§1552. CHILDREN'S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