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Examination to determine sanity of accused</w:t>
      </w:r>
    </w:p>
    <w:p>
      <w:pPr>
        <w:jc w:val="both"/>
        <w:spacing w:before="100" w:after="100"/>
        <w:ind w:start="360"/>
        <w:ind w:firstLine="360"/>
      </w:pPr>
      <w:r>
        <w:rPr/>
      </w:r>
      <w:r>
        <w:rPr/>
      </w:r>
      <w:r>
        <w:t xml:space="preserve">A Judge of the District Court may order a person, who is accused of an offense, to be examined by a physician without delay, to determine whether or not such person is insane. The cost of such examination shall be paid from the treasury of the county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1967, c.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 Examination to determine sanity of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Examination to determine sanity of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§168. EXAMINATION TO DETERMINE SANITY OF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