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Contracts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Contracts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§311. CONTRACTS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