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Constitution of court; concurrence required</w:t>
      </w:r>
    </w:p>
    <w:p>
      <w:pPr>
        <w:jc w:val="both"/>
        <w:spacing w:before="100" w:after="100"/>
        <w:ind w:start="360"/>
        <w:ind w:firstLine="360"/>
      </w:pPr>
      <w:r>
        <w:rPr/>
      </w:r>
      <w:r>
        <w:rPr/>
      </w:r>
      <w:r>
        <w:t xml:space="preserve">When sitting as a Law Court to determine questions of law arising in any civil or criminal action or proceeding, the Supreme Judicial Court must be composed as provided by rules adopted by that court and shall hear and determine such questions by the concurrence of a majority of the justices sitting and qualified to act.</w:t>
      </w:r>
      <w:r>
        <w:t xml:space="preserve">  </w:t>
      </w:r>
      <w:r xmlns:wp="http://schemas.openxmlformats.org/drawingml/2010/wordprocessingDrawing" xmlns:w15="http://schemas.microsoft.com/office/word/2012/wordml">
        <w:rPr>
          <w:rFonts w:ascii="Arial" w:hAnsi="Arial" w:cs="Arial"/>
          <w:sz w:val="22"/>
          <w:szCs w:val="22"/>
        </w:rPr>
        <w:t xml:space="preserve">[PL 2007, c. 518,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PL 2007, c. 518,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Constitution of court; concurrence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Constitution of court; concurrence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§51. CONSTITUTION OF COURT; CONCURRENCE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