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§806-A. License to practice subject to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License to practice subject to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§806-A. LICENSE TO PRACTICE SUBJECT TO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