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COMMISSION ON MAINE'S FUTURE</w:t>
      </w:r>
    </w:p>
    <w:p>
      <w:pPr>
        <w:jc w:val="center"/>
        <w:ind w:start="360"/>
        <w:spacing w:before="300" w:after="300"/>
      </w:pPr>
      <w:r>
        <w:rPr>
          <w:b/>
        </w:rPr>
        <w:t>(REPEALED)</w:t>
      </w:r>
    </w:p>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3309</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3310</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3321</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jc w:val="both"/>
        <w:spacing w:before="100" w:after="100"/>
        <w:ind w:start="1080" w:hanging="720"/>
      </w:pPr>
      <w:r>
        <w:rPr>
          <w:b/>
        </w:rPr>
        <w:t>§</w:t>
        <w:t>3323</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§§2,3 (AMD). PL 1979, c. 672, §A11 (RP). </w:t>
      </w:r>
    </w:p>
    <w:p>
      <w:pPr>
        <w:jc w:val="both"/>
        <w:spacing w:before="100" w:after="100"/>
        <w:ind w:start="1080" w:hanging="720"/>
      </w:pPr>
      <w:r>
        <w:rPr>
          <w:b/>
        </w:rPr>
        <w:t>§</w:t>
        <w:t>3324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