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391</w:t>
      </w:r>
    </w:p>
    <w:p>
      <w:pPr>
        <w:jc w:val="center"/>
        <w:ind w:start="360"/>
        <w:spacing w:before="300" w:after="300"/>
      </w:pPr>
      <w:r>
        <w:rPr>
          <w:b/>
        </w:rPr>
        <w:t xml:space="preserve">POVERTY AND ECONOMIC SECURITY</w:t>
      </w:r>
    </w:p>
    <w:p>
      <w:pPr>
        <w:jc w:val="both"/>
        <w:spacing w:before="100" w:after="100"/>
        <w:ind w:start="1080" w:hanging="720"/>
      </w:pPr>
      <w:r>
        <w:rPr>
          <w:b/>
        </w:rPr>
        <w:t>§</w:t>
        <w:t>13171</w:t>
        <w:t xml:space="preserve">.  </w:t>
      </w:r>
      <w:r>
        <w:rPr>
          <w:b/>
        </w:rPr>
        <w:t xml:space="preserve">Maine Council on Poverty and Economic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641, §2 (NEW). RR 2009, c. 1, §8 (COR). PL 2011, c. 344,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391. POVERTY AND ECONOMIC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391. POVERTY AND ECONOMIC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391. POVERTY AND ECONOMIC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