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10002</w:t>
        <w:t xml:space="preserve">.  </w:t>
      </w:r>
      <w:r>
        <w:rPr>
          <w:b/>
        </w:rPr>
        <w:t xml:space="preserve">Expiration</w:t>
      </w:r>
    </w:p>
    <w:p>
      <w:pPr>
        <w:jc w:val="both"/>
        <w:spacing w:before="100" w:after="100"/>
        <w:ind w:start="360"/>
        <w:ind w:firstLine="360"/>
      </w:pPr>
      <w:r>
        <w:rPr/>
      </w:r>
      <w:r>
        <w:rPr/>
      </w:r>
      <w:r>
        <w:t xml:space="preserve">Except as otherwise provided in this subchapter, when a licensee has made timely and sufficient application for renewal of a license, the existing license shall not expire until the application has been finally determined by the agency.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§10002.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§10002.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§10002.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