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Conditions of bond; filing</w:t>
      </w:r>
    </w:p>
    <w:p>
      <w:pPr>
        <w:jc w:val="both"/>
        <w:spacing w:before="100" w:after="100"/>
        <w:ind w:start="360"/>
        <w:ind w:firstLine="360"/>
      </w:pPr>
      <w:r>
        <w:rPr/>
      </w:r>
      <w:r>
        <w:rPr/>
      </w:r>
      <w:r>
        <w:t xml:space="preserve">The condition of the Treasurer of State's bond must be for the faithful discharge of all the duties of the office of the Treasurer of State, and that while in office the Treasurer of State will not engage in trade or commerce, or act as broker, agent or factor for any merchant or trader; and that the Treasurer of State, or the Treasurer of State's executors, administrators or sureties, or their executors or administrators, shall render a just and true account of all agents' and servants' doings and transactions in the office of the Treasurer of State to the Legislature, or to such committee as it appoints, on the first day of each regular session of the Legislature, previous to the choice of a new treasurer, and at any other time when required by the Legislature or the Governor; and that the Treasurer of State will settle and adjust that account and faithfully deliver to the Treasurer of State's successor in office or to such person as the Legislature appoints all moneys, books, property and appurtenances of that office in the possession of the Treasurer of State or any agents to the Treasurer of State and pay over all balances found due on the adjustment. The bond, when approved as the Constitution prescribes, must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[RR 2023,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 (AMD). RR 2023, c. 2, Pt. B,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Conditions of bond;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Conditions of bond;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 CONDITIONS OF BOND;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