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§13063-D. Grants to municipalities to retain mature or dominant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§13063-D. GRANTS TO MUNICIPALITIES TO RETAIN MATURE OR DOMINANT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