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13080-B</w:t>
        <w:t xml:space="preserve">.  </w:t>
      </w:r>
      <w:r>
        <w:rPr>
          <w:b/>
        </w:rPr>
        <w:t xml:space="preserve">Loring Development Authority of Maine;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 (COR); RR 2001, c. 2, Pt. B, §58 (AFF).]</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Provide for the public safety by imposing appropriate regulations, regulating appropriate use of the base facilities and enforcing laws and regulations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  Fees, charges and rents collected from properties contained in the public benefit transfer or otherwise generated by the airport must be used to support the development, maintenance and operation of aeronautical facilities and in accordance with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individuals and other persons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or other revenues or property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K</w:t>
        <w:t xml:space="preserve">.  </w:t>
      </w:r>
      <w:r>
        <w:rPr/>
      </w:r>
      <w:r>
        <w:t xml:space="preserve">Enter into loan or security agreements with borrowers or one or more lending institutions, including, but not limited to, banks, insurance companies and pension funds, or trustees for those institutions for the purposes for which bonds may be issued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 and in keeping with limitations set forth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facility.  Use of operating revenues for this purpose must be in accordance with the provisions of the Surplus Property Act, 50 United States Code App. Section 1622 et seq. and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§2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to 2-year terms, 2 trustees to 3-year terms, 4 trustees to 4-year terms and the commissioner designated pursuant to </w:t>
      </w:r>
      <w:r>
        <w:t>paragraph D</w:t>
      </w:r>
      <w:r>
        <w:t xml:space="preserve">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Governor shall make 12 appointments, of which no less than 7 must be from candidates who are residents of Aroostook County and are nominated by the primary impact communities.  The Governor shall appoint members who reflect the diversity of interests represented by these communities.  At least 4 of the remaining  appointments must be from candidates who are not residents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3</w:t>
        <w:t xml:space="preserve">.  </w:t>
      </w:r>
      <w:r>
        <w:rPr>
          <w:b/>
        </w:rPr>
        <w:t xml:space="preserve">Quorum.</w:t>
        <w:t xml:space="preserve"> </w:t>
      </w:r>
      <w:r>
        <w:t xml:space="preserve"> </w:t>
      </w:r>
      <w:r>
        <w:t xml:space="preserve">Seven members constitute a quorum.  Seven affirmative votes are required for the board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A member of the authority, a member of a board of the authority and an employee of the authority may not be subject to any personal liability for having acted in the service of their duty as board members of the authority within the course and scope of membership or employment to carry out a power or duty under this chapter.  The authority shall indemnify a member of the authority, a member of a board of the authority and an employee of the authority against expenses actually and necessarily incurred in connection with the defense of an action or proceeding in which the member or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 §1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trustees shall elect a chair and vice-chair from among their members.  The authority may employ an executive director, technical experts and other agents and employees, permanent and temporary, that it requires and may determine their qualifications, duties and compensation.  Permanent employees of the authority are eligible to elect to participate in the Maine Public Employees Retirement System, any state-deferred compensation plan or any other plan or program adopted by the trustees to the extent the trustees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§2 (AMD); PL 2007, c. 58, §3 (REV).]</w:t>
      </w:r>
    </w:p>
    <w:p>
      <w:pPr>
        <w:jc w:val="both"/>
        <w:spacing w:before="100" w:after="0"/>
        <w:ind w:start="360"/>
        <w:ind w:firstLine="360"/>
      </w:pPr>
      <w:r>
        <w:rPr>
          <w:b/>
        </w:rPr>
        <w:t>7</w:t>
        <w:t xml:space="preserve">.  </w:t>
      </w:r>
      <w:r>
        <w:rPr>
          <w:b/>
        </w:rPr>
        <w:t xml:space="preserve">Term limits.</w:t>
        <w:t xml:space="preserve"> </w:t>
      </w:r>
      <w:r>
        <w:t xml:space="preserve"> </w:t>
      </w:r>
      <w:r>
        <w:t xml:space="preserve">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§1 (NEW); PL 1995, c. 644,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§§3,4 (AMD). PL 1995, c. 166, §1 (AMD). PL 1995, c. 495, §2 (AMD). PL 1995, c. 644, §1 (AMD). PL 1995, c. 644, §3 (AFF). PL 1997, c. 71, §1 (AMD). RR 2001, c. 2, §B3 (COR). RR 2001, c. 2, §B58 (AFF). PL 2003, c. 598, §2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§13080-B. Loring Development Authority of Maine;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§13080-B. Loring Development Authority of Maine;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§13080-B. LORING DEVELOPMENT AUTHORITY OF MAINE;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