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13080-K</w:t>
        <w:t xml:space="preserve">.  </w:t>
      </w:r>
      <w:r>
        <w:rPr>
          <w:b/>
        </w:rPr>
        <w:t xml:space="preserve">Termination of the authority</w:t>
      </w:r>
    </w:p>
    <w:p>
      <w:pPr>
        <w:jc w:val="both"/>
        <w:spacing w:before="100" w:after="100"/>
        <w:ind w:start="360"/>
        <w:ind w:firstLine="360"/>
      </w:pPr>
      <w:r>
        <w:rPr/>
      </w:r>
      <w:r>
        <w:rPr/>
      </w:r>
      <w:r>
        <w:t xml:space="preserve">The authority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 in accordance with agreements with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2003, c. 598,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§13080-K. Termination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§13080-K. Termination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§13080-K. TERMINATION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