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13083-D</w:t>
        <w:t xml:space="preserve">.  </w:t>
      </w:r>
      <w:r>
        <w:rPr>
          <w:b/>
        </w:rPr>
        <w:t xml:space="preserve">Property of authority</w:t>
      </w:r>
    </w:p>
    <w:p>
      <w:pPr>
        <w:jc w:val="both"/>
        <w:spacing w:before="100" w:after="100"/>
        <w:ind w:start="360"/>
        <w:ind w:firstLine="360"/>
      </w:pPr>
      <w:r>
        <w:rPr/>
      </w:r>
      <w:r>
        <w:rPr/>
      </w:r>
      <w:r>
        <w:t xml:space="preserve">The authority may lease, sell or transfer property or interests in property owned by the authority.  A person may not hold any pecuniary interest in property owned by the authority while that person is a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§13083-D.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§13083-D.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§13083-D.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