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13083-O</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public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pPr>
      <w:r>
        <w:rPr/>
      </w:r>
      <w:r>
        <w:rPr/>
      </w:r>
      <w:r>
        <w:t xml:space="preserve">When an acquisition is involuntary, the interest acquired must be disclosed immediately in writing to the board of trustees of the authority,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public official, trustee or employee of the authority presently owns or controls, or owned or controlled within the preceding 2 years, a direct or an indirect interest in property known to be included or planned to be included in an authority activity, that public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Recusal.</w:t>
        <w:t xml:space="preserve"> </w:t>
      </w:r>
      <w:r>
        <w:t xml:space="preserve"> </w:t>
      </w:r>
      <w:r>
        <w:t xml:space="preserve">The public official, trustee or employee of the authority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§13083-O.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§13083-O.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§13083-O.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