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 </w:t>
        <w:t xml:space="preserve"> </w:t>
      </w:r>
      <w:r>
        <w:t xml:space="preserve"> </w:t>
      </w:r>
      <w:r>
        <w:t xml:space="preserve">On July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Title 36, section 1815</w:t>
      </w:r>
      <w:r>
        <w:t xml:space="preserve">. On October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last 6 months of the immediately prior fiscal year after the reduction for the transfer to the Local Government Fund and the transfers to the sales tax funds pursuant to </w:t>
      </w:r>
      <w:r>
        <w:t>Title 36, section 1815</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§1 (RPR).]</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PL 2023, c. 613,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§13090-K. TOURISM MARKETING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