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13120-F</w:t>
        <w:t xml:space="preserve">.  </w:t>
      </w:r>
      <w:r>
        <w:rPr>
          <w:b/>
        </w:rPr>
        <w:t xml:space="preserve">Receive, use and invest funds</w:t>
      </w:r>
    </w:p>
    <w:p>
      <w:pPr>
        <w:jc w:val="both"/>
        <w:spacing w:before="100" w:after="100"/>
        <w:ind w:start="360"/>
        <w:ind w:firstLine="360"/>
      </w:pPr>
      <w:r>
        <w:rPr/>
      </w:r>
      <w:r>
        <w:rPr/>
      </w:r>
      <w:r>
        <w:t xml:space="preserve">The authority may receive and accept from any source allocations, appropriations, loans, grants and contributions of money or other things of value to be held, used or applied to carry out this subchapter, subject to the conditions upon which the loans, grants and contributions may be made, including, but not limited to, appropriations, allocations, loans, grants or gifts from any federal agency or governmental subdivision or the State and its agencies.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100"/>
        <w:ind w:start="360"/>
        <w:ind w:firstLine="360"/>
      </w:pPr>
      <w:r>
        <w:rPr/>
      </w:r>
      <w:r>
        <w:rPr/>
      </w:r>
      <w:r>
        <w:t xml:space="preserve">The authority may invest funds received from any source for carrying out this subchapter and expend interest and other earnings on those funds as appropriate to implement this subchapter, including use for program and administrative costs.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§13120-F. Receive, use and invest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§13120-F. Receive, use and invest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§13120-F. RECEIVE, USE AND INVEST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