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13120-H</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subchapter, transactions and property of the authority must be treated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issued for an essential public and governmental purpose, are public instruments and, together with interest and income, including the profit made from their transfer or sale, are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Conveyances, leases, mortgages, deeds of trust; trust indentures; exemptions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State Government or county or local governments.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§13120-H. Taxation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§13120-H. Taxation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§13120-H. TAXATION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