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13211</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corporation shall submit annually to the Governor, the Executive Director of the Legislative Council and the joint standing committee of the Legislature having jurisdiction over economic development matters, not later than 120 days after the close of the corporation's fiscal year, a complete report on the activities of the corporation.  The report may also be provided to any other member of the Legislature and to any other person.  The report must include all of the following for the previous fiscal year:</w:t>
      </w:r>
    </w:p>
    <w:p>
      <w:pPr>
        <w:jc w:val="both"/>
        <w:spacing w:before="100" w:after="0"/>
        <w:ind w:start="720"/>
      </w:pPr>
      <w:r>
        <w:rPr/>
        <w:t>A</w:t>
        <w:t xml:space="preserve">.  </w:t>
      </w:r>
      <w:r>
        <w:rPr/>
      </w:r>
      <w:r>
        <w:t xml:space="preserve">A description of the corporation's operations;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An accounting of the corporation's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A listing of all property transactions pursuant to </w:t>
      </w:r>
      <w:r>
        <w:t>section 13205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An accounting of all activities related to the Maine Space Complex Fund under </w:t>
      </w:r>
      <w:r>
        <w:t>section 13206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A listing of any bonds issued during the fiscal year under </w:t>
      </w:r>
      <w:r>
        <w:t>section 13207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A statement of the corporation's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§13211.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