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Purchase of unmatured bonds of State</w:t>
      </w:r>
    </w:p>
    <w:p>
      <w:pPr>
        <w:jc w:val="both"/>
        <w:spacing w:before="100" w:after="100"/>
        <w:ind w:start="360"/>
        <w:ind w:firstLine="360"/>
      </w:pPr>
      <w:r>
        <w:rPr/>
      </w:r>
      <w:r>
        <w:rPr/>
      </w:r>
      <w:r>
        <w:t xml:space="preserve">Whenever, from time to time in the judgment of the Treasurer of State, it may be done to the financial advantage of the State, the Treasurer of State may, with the advice and consent of the Governor, purchase with any funds in the State Treasury not otherwise appropriated and, when so purchased, may cancel any outstanding, unmatured bonds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§40 (AMD). RR 2023, c. 2,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 Purchase of unmatured bonds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Purchase of unmatured bonds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§137. PURCHASE OF UNMATURED BONDS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