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145-B</w:t>
        <w:t xml:space="preserve">.  </w:t>
      </w:r>
      <w:r>
        <w:rPr>
          <w:b/>
        </w:rPr>
        <w:t xml:space="preserve">Issuance of registered bonds; miscellaneous provisions</w:t>
      </w:r>
    </w:p>
    <w:p>
      <w:pPr>
        <w:jc w:val="both"/>
        <w:spacing w:before="100" w:after="0"/>
        <w:ind w:start="360"/>
        <w:ind w:firstLine="360"/>
      </w:pPr>
      <w:r>
        <w:rPr>
          <w:b/>
        </w:rPr>
        <w:t>1</w:t>
        <w:t xml:space="preserve">.  </w:t>
      </w:r>
      <w:r>
        <w:rPr>
          <w:b/>
        </w:rPr>
        <w:t xml:space="preserve">Issuance.</w:t>
        <w:t xml:space="preserve"> </w:t>
      </w:r>
      <w:r>
        <w:t xml:space="preserve"> </w:t>
      </w:r>
      <w:r>
        <w:t xml:space="preserve">Notwithstanding any other provisions of the laws of this State, whenever the Treasurer of State is authorized to issue and sell bonds for the State, the bonds may be issued in registered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§24 (COR).]</w:t>
      </w:r>
    </w:p>
    <w:p>
      <w:pPr>
        <w:jc w:val="both"/>
        <w:spacing w:before="100" w:after="0"/>
        <w:ind w:start="360"/>
        <w:ind w:firstLine="360"/>
      </w:pPr>
      <w:r>
        <w:rPr>
          <w:b/>
        </w:rPr>
        <w:t>2</w:t>
        <w:t xml:space="preserve">.  </w:t>
      </w:r>
      <w:r>
        <w:rPr>
          <w:b/>
        </w:rPr>
        <w:t xml:space="preserve">Signatures.</w:t>
        <w:t xml:space="preserve"> </w:t>
      </w:r>
      <w:r>
        <w:t xml:space="preserve"> </w:t>
      </w:r>
      <w:r>
        <w:t xml:space="preserve">Registered bonds must bear the facsimile signature of the Treasurer of State or the Treasurer of State's deputy and must be attested by the facsimile signature of the Commissioner of Administrative and Financial Services or such agents as the commissioner may designate. Whenever signatures on registered bonds of other state officials are required, their facsimile signatures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223, §4 (AMD).]</w:t>
      </w:r>
    </w:p>
    <w:p>
      <w:pPr>
        <w:jc w:val="both"/>
        <w:spacing w:before="100" w:after="0"/>
        <w:ind w:start="360"/>
        <w:ind w:firstLine="360"/>
      </w:pPr>
      <w:r>
        <w:rPr>
          <w:b/>
        </w:rPr>
        <w:t>3</w:t>
        <w:t xml:space="preserve">.  </w:t>
      </w:r>
      <w:r>
        <w:rPr>
          <w:b/>
        </w:rPr>
        <w:t xml:space="preserve">Seal.</w:t>
        <w:t xml:space="preserve"> </w:t>
      </w:r>
      <w:r>
        <w:t xml:space="preserve"> </w:t>
      </w:r>
      <w:r>
        <w:t xml:space="preserve">The seal of the State on registered bonds may be by facsimile.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w:pPr>
        <w:jc w:val="both"/>
        <w:spacing w:before="100" w:after="0"/>
        <w:ind w:start="360"/>
        <w:ind w:firstLine="360"/>
      </w:pPr>
      <w:r>
        <w:rPr>
          <w:b/>
        </w:rPr>
        <w:t>4</w:t>
        <w:t xml:space="preserve">.  </w:t>
      </w:r>
      <w:r>
        <w:rPr>
          <w:b/>
        </w:rPr>
        <w:t xml:space="preserve">Agents.</w:t>
        <w:t xml:space="preserve"> </w:t>
      </w:r>
      <w:r>
        <w:t xml:space="preserve"> </w:t>
      </w:r>
      <w:r>
        <w:t xml:space="preserve">The Treasurer of State may appoint, for such terms as may be agreed upon, including for as long as a registered bond may be outstanding, corporate or other authenticity, agents, transfer agents, registrars, paying or other agents, and specify the terms of their appointments, including their rights, compensation and duties. None of the agents need have an office or do business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w:pPr>
        <w:jc w:val="both"/>
        <w:spacing w:before="100" w:after="0"/>
        <w:ind w:start="360"/>
        <w:ind w:firstLine="360"/>
      </w:pPr>
      <w:r>
        <w:rPr>
          <w:b/>
        </w:rPr>
        <w:t>5</w:t>
        <w:t xml:space="preserve">.  </w:t>
      </w:r>
      <w:r>
        <w:rPr>
          <w:b/>
        </w:rPr>
        <w:t xml:space="preserve">Storage and transfer.</w:t>
        <w:t xml:space="preserve"> </w:t>
      </w:r>
      <w:r>
        <w:t xml:space="preserve"> </w:t>
      </w:r>
      <w:r>
        <w:t xml:space="preserve">The Treasurer of State may agree with custodial banks and financial intermediaries, within or without this State, and the nominees of any of them, in connection with the establishment and maintenance by others of a central depository system for the storage of transferable certificates and the transfer of registered bonds. Any such custodial banks and financial intermediaries, and nominees, if qualified and acting as fiduciaries, may also serve as authenticating agents, transfer agents, registrars, paying or other agents of the Treasurer of State with respect to the same issue of registered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745 (NEW). PL 1985, c. 785, §A18 (AMD). PL 1991, c. 780, §Y17 (AMD). PL 2023, c. 223, §4 (AMD). RR 2023, c. 2, Pt. B,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§145-B. Issuance of registered bonds;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§145-B. Issuance of registered bonds;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§145-B. ISSUANCE OF REGISTERED BONDS;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