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Cancellation and registry of old bonds</w:t>
      </w:r>
    </w:p>
    <w:p>
      <w:pPr>
        <w:jc w:val="both"/>
        <w:spacing w:before="100" w:after="100"/>
        <w:ind w:start="360"/>
        <w:ind w:firstLine="360"/>
      </w:pPr>
      <w:r>
        <w:rPr/>
      </w:r>
      <w:r>
        <w:rPr/>
      </w:r>
      <w:r>
        <w:t xml:space="preserve">All bonds received by the Treasurer of State for exchange must be canceled and retained in the office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1989, c. 857,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 Cancellation and registry of old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Cancellation and registry of old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§147. CANCELLATION AND REGISTRY OF OLD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