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Petty Cash Funds</w:t>
      </w:r>
    </w:p>
    <w:p>
      <w:pPr>
        <w:jc w:val="both"/>
        <w:spacing w:before="100" w:after="100"/>
        <w:ind w:start="360"/>
        <w:ind w:firstLine="360"/>
      </w:pPr>
      <w:r>
        <w:rPr/>
      </w:r>
      <w:r>
        <w:rPr/>
      </w:r>
      <w:r>
        <w:t xml:space="preserve">A Petty Cash Fund must be allowed by the Commissioner of Administrative and Financial Services to each state department or agency that in the commissioner's opinion requires such a fund. The fund so established may be reimbursed only upon statements and bills audited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1991, c. 780, Pt. Y,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§A49 (AMD). PL 1991, c. 780, §Y39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Petty Cash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Petty Cash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§1505. PETTY CASH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