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w:t>
        <w:t xml:space="preserve">.  </w:t>
      </w:r>
      <w:r>
        <w:rPr>
          <w:b/>
        </w:rPr>
        <w:t xml:space="preserve">Source of payment for late fees</w:t>
      </w:r>
    </w:p>
    <w:p>
      <w:pPr>
        <w:jc w:val="both"/>
        <w:spacing w:before="100" w:after="100"/>
        <w:ind w:start="360"/>
        <w:ind w:firstLine="360"/>
      </w:pPr>
      <w:r>
        <w:rPr/>
      </w:r>
      <w:r>
        <w:rPr/>
      </w:r>
      <w:r>
        <w:t xml:space="preserve">Any late fee authorized by this chapter to be applied to a proper invoice shall be paid from funds made available for the administration or operation of the program or state agency for which the obligation was incurred.</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§1556. Source of payment for late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 Source of payment for late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§1556. SOURCE OF PAYMENT FOR LATE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