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Late fees and improper invoices</w:t>
      </w:r>
    </w:p>
    <w:p>
      <w:pPr>
        <w:jc w:val="both"/>
        <w:spacing w:before="100" w:after="100"/>
        <w:ind w:start="360"/>
        <w:ind w:firstLine="360"/>
      </w:pPr>
      <w:r>
        <w:rPr/>
      </w:r>
      <w:r>
        <w:rPr/>
      </w:r>
      <w:r>
        <w:t xml:space="preserve">With respect to an improper invoice, the late fee shall apply to the period beginning on the day after the required payment date is due as specified on the corrected and proper invoice and ending on the date on which payment of the amount due on the invoice is made.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Late fees and improper invoices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Late fees and improper invoices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§1557. LATE FEES AND IMPROPER INVOICES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