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w:t>
        <w:t xml:space="preserve">.  </w:t>
      </w:r>
      <w:r>
        <w:rPr>
          <w:b/>
        </w:rPr>
        <w:t xml:space="preserve">Annual report</w:t>
      </w:r>
    </w:p>
    <w:p>
      <w:pPr>
        <w:jc w:val="both"/>
        <w:spacing w:before="100" w:after="100"/>
        <w:ind w:start="360"/>
        <w:ind w:firstLine="360"/>
      </w:pPr>
      <w:r>
        <w:rPr/>
      </w:r>
      <w:r>
        <w:rPr/>
      </w:r>
      <w:r>
        <w:t xml:space="preserve">The State Controller shall annually report on the amount of late fees incurred by the various state agencies.</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§1558.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§1558.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