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1583-B</w:t>
        <w:t xml:space="preserve">.  </w:t>
      </w:r>
      <w:r>
        <w:rPr>
          <w:b/>
        </w:rPr>
        <w:t xml:space="preserve">Personal services policy</w:t>
      </w:r>
    </w:p>
    <w:p>
      <w:pPr>
        <w:jc w:val="both"/>
        <w:spacing w:before="100" w:after="0"/>
        <w:ind w:start="360"/>
        <w:ind w:firstLine="360"/>
      </w:pPr>
      <w:r>
        <w:rPr>
          <w:b/>
        </w:rPr>
        <w:t>1</w:t>
        <w:t xml:space="preserve">.  </w:t>
      </w:r>
      <w:r>
        <w:rPr>
          <w:b/>
        </w:rPr>
        <w:t xml:space="preserve">Personal services policy and review.</w:t>
        <w:t xml:space="preserve"> </w:t>
      </w:r>
      <w:r>
        <w:t xml:space="preserve"> </w:t>
      </w:r>
      <w:r>
        <w:t xml:space="preserve">The Department of Administrative and Financial Services, Bureau of the Budget shall continually review with all state departments the status of their staffing levels and patterns for the purpose of determining whether funds and positions are being utilized and managed in the most economical and efficient manner to accomplish the intent of the Legislature.  Permanent positions for which funds are appropriated or allocated must be classified positions unless specifically designated otherwise by the Legislature.  It is the responsibility of the State Human Resources Officer within the Department of Administrative and Financial Services to ensure that classified and unclassified positions are assigned to the proper pay grade and of the State Budget Officer to ensure that the positions are within authorized headcount and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§3 (NEW); PL 2023, c. 412, §3 (REV).]</w:t>
      </w:r>
    </w:p>
    <w:p>
      <w:pPr>
        <w:jc w:val="both"/>
        <w:spacing w:before="100" w:after="0"/>
        <w:ind w:start="360"/>
        <w:ind w:firstLine="360"/>
      </w:pPr>
      <w:r>
        <w:rPr>
          <w:b/>
        </w:rPr>
        <w:t>2</w:t>
        <w:t xml:space="preserve">.  </w:t>
      </w:r>
      <w:r>
        <w:rPr>
          <w:b/>
        </w:rPr>
        <w:t xml:space="preserve">Personal services flexibility.</w:t>
        <w:t xml:space="preserve"> </w:t>
      </w:r>
      <w:r>
        <w:t xml:space="preserve"> </w:t>
      </w:r>
      <w:r>
        <w:t xml:space="preserve">Any classification or reclassification of a position and any allocation or reallocation of a position within the compensation plan made by the State Human Resources Officer within the Department of Administrative and Financial Services pursuant to the Civil Service Law and applicable rules becomes effective on the first day of the fiscal year following approval by the State Budget Officer and the appropriation or allocation of funds therefore, except that the State Budget Officer may, if the officer determines that sufficient funds exist, authorize an effective date prior to the first day of the ensuing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§3 (NEW); PL 2023, c. 412,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§T3 (NEW). PL 2023, c. 412,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§1583-B. Personal services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§1583-B. Personal services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§1583-B. PERSONAL SERVICES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