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1675</w:t>
        <w:t xml:space="preserve">.  </w:t>
      </w:r>
      <w:r>
        <w:rPr>
          <w:b/>
        </w:rPr>
        <w:t xml:space="preserve">Acceptance of funds for alternative-fueled vehicles program</w:t>
      </w:r>
    </w:p>
    <w:p>
      <w:pPr>
        <w:jc w:val="both"/>
        <w:spacing w:before="100" w:after="100"/>
        <w:ind w:start="360"/>
        <w:ind w:firstLine="360"/>
      </w:pPr>
      <w:r>
        <w:rPr/>
      </w:r>
      <w:r>
        <w:rPr/>
      </w:r>
      <w:r>
        <w:t xml:space="preserve">An agency or agencies of the State designated by the Governor to establish an alternative-fueled vehicle demonstration program under the National Energy Policy Act of 1992, Public Law 102-486, Section 409 may accept funds to implement that program from the Federal Government or from any person.</w:t>
      </w:r>
      <w:r>
        <w:t xml:space="preserve">  </w:t>
      </w:r>
      <w:r xmlns:wp="http://schemas.openxmlformats.org/drawingml/2010/wordprocessingDrawing" xmlns:w15="http://schemas.microsoft.com/office/word/2012/wordml">
        <w:rPr>
          <w:rFonts w:ascii="Arial" w:hAnsi="Arial" w:cs="Arial"/>
          <w:sz w:val="22"/>
          <w:szCs w:val="22"/>
        </w:rPr>
        <w:t xml:space="preserve">[PL 1993, c. 466,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§1675. Acceptance of funds for alternative-fueled vehicles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§1675. Acceptance of funds for alternative-fueled vehicles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§1675. ACCEPTANCE OF FUNDS FOR ALTERNATIVE-FUELED VEHICLES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