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17109</w:t>
        <w:t xml:space="preserve">.  </w:t>
      </w:r>
      <w:r>
        <w:rPr>
          <w:b/>
        </w:rPr>
        <w:t xml:space="preserve">Other counsel and assistance</w:t>
      </w:r>
    </w:p>
    <w:p>
      <w:pPr>
        <w:jc w:val="both"/>
        <w:spacing w:before="100" w:after="0"/>
        <w:ind w:start="360"/>
        <w:ind w:firstLine="360"/>
      </w:pPr>
      <w:r>
        <w:rPr>
          <w:b/>
        </w:rPr>
        <w:t>1</w:t>
        <w:t xml:space="preserve">.  </w:t>
      </w:r>
      <w:r>
        <w:rPr>
          <w:b/>
        </w:rPr>
        <w:t xml:space="preserve">Contract.</w:t>
        <w:t xml:space="preserve"> </w:t>
      </w:r>
      <w:r>
        <w:t xml:space="preserve"> </w:t>
      </w:r>
      <w:r>
        <w:t xml:space="preserve">The board may employ or contract for the services of persons or associations, other than those contracted with under </w:t>
      </w:r>
      <w:r>
        <w:t>section 17108</w:t>
      </w:r>
      <w:r>
        <w:t xml:space="preserve">, for investment counsel or advice and for other professional or other assistance, as may be necessary or appropriate to aid in carrying out the board's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Expenses.</w:t>
        <w:t xml:space="preserve"> </w:t>
      </w:r>
      <w:r>
        <w:t xml:space="preserve"> </w:t>
      </w:r>
      <w:r>
        <w:t xml:space="preserve">The expenses incurred in employing or contracting with persons or associations under </w:t>
      </w:r>
      <w:r>
        <w:t>subsection 1</w:t>
      </w:r>
      <w:r>
        <w:t xml:space="preserve"> shall be charged to earnings received from investments of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§17109. Other counsel 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§17109. Other counsel 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§17109. OTHER COUNSEL 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