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the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w:t>
      </w:r>
    </w:p>
    <w:p>
      <w:pPr>
        <w:jc w:val="both"/>
        <w:spacing w:before="100" w:after="0"/>
        <w:ind w:start="360"/>
        <w:ind w:firstLine="360"/>
      </w:pPr>
      <w:r>
        <w:rPr>
          <w:b/>
        </w:rPr>
        <w:t>2</w:t>
        <w:t xml:space="preserve">.  </w:t>
      </w:r>
      <w:r>
        <w:rPr>
          <w:b/>
        </w:rPr>
        <w:t xml:space="preserve">Maine Community College System.</w:t>
        <w:t xml:space="preserve"> </w:t>
      </w:r>
      <w:r>
        <w:t xml:space="preserve"> </w:t>
      </w:r>
      <w:r>
        <w:t xml:space="preserve">The Maine Community College System may deny membership to adjunct faculty members and part-time, seasonal or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§17653.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