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w:t>
        <w:t xml:space="preserve">.  </w:t>
      </w:r>
      <w:r>
        <w:rPr>
          <w:b/>
        </w:rPr>
        <w:t xml:space="preserve">Maine State Prison employees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An employee of the Maine State Prison who holds a position described in </w:t>
      </w:r>
      <w:r>
        <w:t>section 17851, subsection 11</w:t>
      </w:r>
      <w:r>
        <w:t xml:space="preserve">, and who was first employed in one of those capacities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met the eligibility requirements for retirement under </w:t>
      </w:r>
      <w:r>
        <w:t>section 17851, subsection 11,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meeting the eligibility requirements for retirement,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w:pPr>
        <w:jc w:val="both"/>
        <w:spacing w:before="100" w:after="100"/>
        <w:ind w:start="360"/>
        <w:ind w:firstLine="360"/>
      </w:pPr>
      <w:r>
        <w:rPr>
          <w:b/>
        </w:rPr>
        <w:t>2</w:t>
        <w:t xml:space="preserve">.  </w:t>
      </w:r>
      <w:r>
        <w:rPr>
          <w:b/>
        </w:rPr>
        <w:t xml:space="preserve">After August 31, 1984.</w:t>
        <w:t xml:space="preserve"> </w:t>
      </w:r>
      <w:r>
        <w:t xml:space="preserve"> </w:t>
      </w:r>
      <w:r>
        <w:t xml:space="preserve">An employee of the Maine State Prison who was first employed after August 31, 1984, in a position described in </w:t>
      </w:r>
      <w:r>
        <w:t>section 17851, subsection 11</w:t>
      </w:r>
      <w:r>
        <w:t xml:space="preserve">,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employee has completed 25 years of creditable service in one or more of those capacities; and</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1987, c. 739, §§24,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§§24,48 (AMD). PL 2007, c. 491,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§17712. Maine State Prison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 Maine State Prison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 MAINE STATE PRISON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