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17804.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RR 2023,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