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w:t>
        <w:t xml:space="preserve">.  </w:t>
      </w:r>
      <w:r>
        <w:rPr>
          <w:b/>
        </w:rPr>
        <w:t xml:space="preserve">Purpose</w:t>
      </w:r>
    </w:p>
    <w:p>
      <w:pPr>
        <w:jc w:val="both"/>
        <w:spacing w:before="100" w:after="100"/>
        <w:ind w:start="360"/>
        <w:ind w:firstLine="360"/>
      </w:pPr>
      <w:r>
        <w:rPr/>
      </w:r>
      <w:r>
        <w:rPr/>
      </w:r>
      <w:r>
        <w:t xml:space="preserve">There are a large number of state-owned facilities throughout the State, a number of which have some unused space or which are currently leasing space to organizations other than state agencies. Since some state agencies may have negotiated contracts with tenants that may violate constitutional and other statutory provisions, it is the intent of the Legislature to establish a policy governing the leasing of state-owned facilities that complies with constitutional and legal principles.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100"/>
        <w:ind w:start="360"/>
        <w:ind w:firstLine="360"/>
      </w:pPr>
      <w:r>
        <w:rPr/>
      </w:r>
      <w:r>
        <w:rPr/>
      </w:r>
      <w:r>
        <w:t xml:space="preserve">It is the purpose of this chapter to provide for uniform procedures and a standard policy for the leasing of state-owned facilities. A decentralized procedure and many differing policies lead to confusion and misunderstanding.</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