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w:t>
        <w:t xml:space="preserve">.  </w:t>
      </w:r>
      <w:r>
        <w:rPr>
          <w:b/>
        </w:rPr>
        <w:t xml:space="preserve">Adoption of rules</w:t>
      </w:r>
    </w:p>
    <w:p>
      <w:pPr>
        <w:jc w:val="both"/>
        <w:spacing w:before="100" w:after="100"/>
        <w:ind w:start="360"/>
        <w:ind w:firstLine="360"/>
      </w:pPr>
      <w:r>
        <w:rPr>
          <w:b/>
        </w:rPr>
        <w:t>1</w:t>
        <w:t xml:space="preserve">.  </w:t>
      </w:r>
      <w:r>
        <w:rPr>
          <w:b/>
        </w:rPr>
        <w:t xml:space="preserve">Rules of implementation.</w:t>
        <w:t xml:space="preserve"> </w:t>
      </w:r>
      <w:r>
        <w:t xml:space="preserve"> </w:t>
      </w:r>
      <w:r>
        <w:t xml:space="preserve">The director shall adopt rules to implement this chapter. At a minimum, these rules shall include:</w:t>
      </w:r>
    </w:p>
    <w:p>
      <w:pPr>
        <w:jc w:val="both"/>
        <w:spacing w:before="100" w:after="0"/>
        <w:ind w:start="720"/>
      </w:pPr>
      <w:r>
        <w:rPr/>
        <w:t>A</w:t>
        <w:t xml:space="preserve">.  </w:t>
      </w:r>
      <w:r>
        <w:rPr/>
      </w:r>
      <w:r>
        <w:t xml:space="preserve">Provisions for offering available state facilities to state agencies;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Provisions for offering, by competitive bidding, available facilities to other organizations;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C</w:t>
        <w:t xml:space="preserve">.  </w:t>
      </w:r>
      <w:r>
        <w:rPr/>
      </w:r>
      <w:r>
        <w:t xml:space="preserve">Standards for determining user created costs to state agencies for use of state-owned facilities to be reimbursed to the State;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D</w:t>
        <w:t xml:space="preserve">.  </w:t>
      </w:r>
      <w:r>
        <w:rPr/>
      </w:r>
      <w:r>
        <w:t xml:space="preserve">Standards for determining rental fees based on the location of the facilities, accessibility, local market rates, services or in-kind contributions provided by the user or lessee and any other standards deemed necessary by the director.</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§1785.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