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17851-C</w:t>
        <w:t xml:space="preserve">.  </w:t>
      </w:r>
      <w:r>
        <w:rPr>
          <w:b/>
        </w:rPr>
        <w:t xml:space="preserve">Special plan for civilian employees in Department of Public Safety, Maine State Police Crime Laboratory or computer crimes unit</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August 1, 2024, there is established a special retirement plan for civilian employees in the Department of Public Safety, Maine State Police Crime Laboratory or computer crimes unit, referred to in this section as "the special plan." The special plan applies to civilian employees whose job responsibilities include the handling, examination or analysis of digital or physical evidence in the employment of the Department of Public Safety, Maine State Police Crime Laboratory or computer crimes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described in </w:t>
      </w:r>
      <w:r>
        <w:t>subsection 1</w:t>
      </w:r>
      <w:r>
        <w:t xml:space="preserve"> qualifies for a service retirement benefit after completing 25 years of creditable service in that capacity, whether or not the creditable service included in determining that the 25-year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described in </w:t>
      </w:r>
      <w:r>
        <w:t>subsection 1</w:t>
      </w:r>
      <w:r>
        <w:t xml:space="preserve">, regardless of whether the time was served before or after the establishment of the special plan;</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B</w:t>
        <w:t xml:space="preserve">.  </w:t>
      </w:r>
      <w:r>
        <w:rPr/>
      </w:r>
      <w:r>
        <w:t xml:space="preserve">Service credit purchased under </w:t>
      </w:r>
      <w:r>
        <w:t>section 17760</w:t>
      </w:r>
      <w:r>
        <w:t xml:space="preserve"> is considered service under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w:pPr>
        <w:jc w:val="both"/>
        <w:spacing w:before="100" w:after="0"/>
        <w:ind w:start="720"/>
      </w:pPr>
      <w:r>
        <w:rPr/>
        <w:t>C</w:t>
        <w:t xml:space="preserve">.  </w:t>
      </w:r>
      <w:r>
        <w:rPr/>
      </w:r>
      <w:r>
        <w:t xml:space="preserve">Service credit purchased other than as provided under </w:t>
      </w:r>
      <w:r>
        <w:t>paragraphs A</w:t>
      </w:r>
      <w:r>
        <w:t xml:space="preserve"> and </w:t>
      </w:r>
      <w:r>
        <w:t>B</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member's average final compensation and an additional 2% of the member's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provision of </w:t>
      </w:r>
      <w:r>
        <w:t>subchapter 3</w:t>
      </w:r>
      <w:r>
        <w:t xml:space="preserve"> to the contrary, after July 31, 2024, a member in a position described in </w:t>
      </w:r>
      <w:r>
        <w:t>subsection 1</w:t>
      </w:r>
      <w:r>
        <w:t xml:space="preserve"> shall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§17851-C. Special plan for civilian employees in Department of Public Safety, Maine State Police Crime Laboratory or computer crimes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§17851-C. Special plan for civilian employees in Department of Public Safety, Maine State Police Crime Laboratory or computer crimes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§17851-C. SPECIAL PLAN FOR CIVILIAN EMPLOYEES IN DEPARTMENT OF PUBLIC SAFETY, MAINE STATE POLICE CRIME LABORATORY OR COMPUTER CRIMES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