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17934</w:t>
        <w:t xml:space="preserve">.  </w:t>
      </w:r>
      <w:r>
        <w:rPr>
          <w:b/>
        </w:rPr>
        <w:t xml:space="preserve">Optional election</w:t>
      </w:r>
    </w:p>
    <w:p>
      <w:pPr>
        <w:jc w:val="both"/>
        <w:spacing w:before="100" w:after="100"/>
        <w:ind w:start="360"/>
        <w:ind w:firstLine="360"/>
      </w:pPr>
      <w:r>
        <w:rPr/>
      </w:r>
      <w:r>
        <w:rPr/>
      </w:r>
      <w:r>
        <w:t xml:space="preserve">Any person entitled to receive a disability retirement benefit under </w:t>
      </w:r>
      <w:r>
        <w:t>article 3</w:t>
      </w:r>
      <w:r>
        <w:t xml:space="preserve">, as in effect immediately before October 1, 1989, may elect to be governed by this article instead of </w:t>
      </w:r>
      <w:r>
        <w:t>article 3</w:t>
      </w:r>
      <w:r>
        <w:t xml:space="preserve"> by making written application to the chief executive officer within 6 months of October 1, 1989.</w:t>
      </w:r>
      <w:r>
        <w:t xml:space="preserve">  </w:t>
      </w:r>
      <w:r xmlns:wp="http://schemas.openxmlformats.org/drawingml/2010/wordprocessingDrawing" xmlns:w15="http://schemas.microsoft.com/office/word/2012/wordml">
        <w:rPr>
          <w:rFonts w:ascii="Arial" w:hAnsi="Arial" w:cs="Arial"/>
          <w:sz w:val="22"/>
          <w:szCs w:val="22"/>
        </w:rPr>
        <w:t xml:space="preserve">[RR 1997, c. 2, §22 (COR);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RR 1997, c. 2, §22 (COR).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§17934. Optional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§17934. Optional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§17934. OPTIONAL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